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pBdr>
          <w:top w:color="auto" w:space="0" w:sz="0" w:val="none"/>
          <w:left w:color="auto" w:space="0" w:sz="0" w:val="none"/>
          <w:bottom w:color="auto" w:space="0" w:sz="0" w:val="none"/>
          <w:right w:color="auto" w:space="0" w:sz="0" w:val="none"/>
          <w:between w:color="auto" w:space="0" w:sz="0" w:val="none"/>
        </w:pBdr>
        <w:spacing w:after="200" w:before="200" w:line="240" w:lineRule="auto"/>
        <w:ind w:right="-41.99999999999932"/>
        <w:rPr>
          <w:rFonts w:ascii="Nunito" w:cs="Nunito" w:eastAsia="Nunito" w:hAnsi="Nunito"/>
          <w:b w:val="1"/>
          <w:sz w:val="36"/>
          <w:szCs w:val="36"/>
        </w:rPr>
      </w:pPr>
      <w:bookmarkStart w:colFirst="0" w:colLast="0" w:name="_fit5y2ubjw5l" w:id="0"/>
      <w:bookmarkEnd w:id="0"/>
      <w:r w:rsidDel="00000000" w:rsidR="00000000" w:rsidRPr="00000000">
        <w:rPr>
          <w:rFonts w:ascii="Nunito" w:cs="Nunito" w:eastAsia="Nunito" w:hAnsi="Nunito"/>
          <w:b w:val="1"/>
          <w:sz w:val="36"/>
          <w:szCs w:val="36"/>
          <w:rtl w:val="0"/>
        </w:rPr>
        <w:t xml:space="preserve">Community Risk Factors</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pacing w:before="200" w:lineRule="auto"/>
        <w:ind w:left="17.99999999999983" w:right="-492.000000000001" w:firstLine="0"/>
        <w:rPr>
          <w:rFonts w:ascii="Nunito" w:cs="Nunito" w:eastAsia="Nunito" w:hAnsi="Nunito"/>
        </w:rPr>
      </w:pPr>
      <w:r w:rsidDel="00000000" w:rsidR="00000000" w:rsidRPr="00000000">
        <w:rPr>
          <w:rFonts w:ascii="Nunito" w:cs="Nunito" w:eastAsia="Nunito" w:hAnsi="Nunito"/>
          <w:rtl w:val="0"/>
        </w:rPr>
        <w:t xml:space="preserve">We recommend the community schedules quarterly meetings to assess the risks facing the organization from the community and to put in place processes and actions which mitigate identified risks.</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pacing w:before="200" w:lineRule="auto"/>
        <w:ind w:left="17.99999999999983" w:right="-492.000000000001" w:firstLine="0"/>
        <w:rPr>
          <w:rFonts w:ascii="Nunito" w:cs="Nunito" w:eastAsia="Nunito" w:hAnsi="Nunito"/>
        </w:rPr>
      </w:pPr>
      <w:r w:rsidDel="00000000" w:rsidR="00000000" w:rsidRPr="00000000">
        <w:rPr>
          <w:rFonts w:ascii="Nunito" w:cs="Nunito" w:eastAsia="Nunito" w:hAnsi="Nunito"/>
          <w:rtl w:val="0"/>
        </w:rPr>
        <w:t xml:space="preserve">The Risk Assessment below is a start-point for that process. Existing work from PR teams can be incorporated into this process and used to evolve the Risk Assessment shown below into a fuller, more complete and much more tactical Risk Assessment which can be used by everyone engaged in the community.</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pacing w:before="200" w:lineRule="auto"/>
        <w:ind w:left="17.99999999999983" w:right="-492.000000000001" w:firstLine="0"/>
        <w:rPr>
          <w:rFonts w:ascii="Nunito" w:cs="Nunito" w:eastAsia="Nunito" w:hAnsi="Nunito"/>
        </w:rPr>
      </w:pPr>
      <w:r w:rsidDel="00000000" w:rsidR="00000000" w:rsidRPr="00000000">
        <w:rPr>
          <w:rtl w:val="0"/>
        </w:rPr>
      </w:r>
    </w:p>
    <w:tbl>
      <w:tblPr>
        <w:tblStyle w:val="Table1"/>
        <w:tblW w:w="9255.0" w:type="dxa"/>
        <w:jc w:val="left"/>
        <w:tblInd w:w="117.99999999999983"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05"/>
        <w:gridCol w:w="1290"/>
        <w:gridCol w:w="1350"/>
        <w:gridCol w:w="1380"/>
        <w:gridCol w:w="3330"/>
        <w:tblGridChange w:id="0">
          <w:tblGrid>
            <w:gridCol w:w="1905"/>
            <w:gridCol w:w="1290"/>
            <w:gridCol w:w="1350"/>
            <w:gridCol w:w="1380"/>
            <w:gridCol w:w="3330"/>
          </w:tblGrid>
        </w:tblGridChange>
      </w:tblGrid>
      <w:tr>
        <w:tc>
          <w:tcPr>
            <w:shd w:fill="ffff00" w:val="clear"/>
            <w:tcMar>
              <w:top w:w="100.0" w:type="dxa"/>
              <w:left w:w="100.0" w:type="dxa"/>
              <w:bottom w:w="100.0" w:type="dxa"/>
              <w:right w:w="100.0" w:type="dxa"/>
            </w:tcMar>
            <w:vAlign w:val="top"/>
          </w:tcPr>
          <w:p w:rsidR="00000000" w:rsidDel="00000000" w:rsidP="00000000" w:rsidRDefault="00000000" w:rsidRPr="00000000" w14:paraId="00000005">
            <w:pPr>
              <w:widowControl w:val="0"/>
              <w:pBdr>
                <w:top w:color="auto" w:space="0" w:sz="0" w:val="none"/>
                <w:left w:color="auto" w:space="0" w:sz="0" w:val="none"/>
                <w:bottom w:color="auto" w:space="0" w:sz="0" w:val="none"/>
                <w:right w:color="auto" w:space="0" w:sz="0" w:val="none"/>
                <w:between w:color="auto" w:space="0" w:sz="0" w:val="none"/>
              </w:pBdr>
              <w:spacing w:line="240" w:lineRule="auto"/>
              <w:jc w:val="center"/>
              <w:rPr>
                <w:rFonts w:ascii="Nunito" w:cs="Nunito" w:eastAsia="Nunito" w:hAnsi="Nunito"/>
                <w:b w:val="1"/>
              </w:rPr>
            </w:pPr>
            <w:r w:rsidDel="00000000" w:rsidR="00000000" w:rsidRPr="00000000">
              <w:rPr>
                <w:rFonts w:ascii="Nunito" w:cs="Nunito" w:eastAsia="Nunito" w:hAnsi="Nunito"/>
                <w:b w:val="1"/>
                <w:rtl w:val="0"/>
              </w:rPr>
              <w:t xml:space="preserve">Harm</w:t>
            </w:r>
          </w:p>
        </w:tc>
        <w:tc>
          <w:tcPr>
            <w:shd w:fill="ffff00" w:val="clear"/>
            <w:tcMar>
              <w:top w:w="100.0" w:type="dxa"/>
              <w:left w:w="100.0" w:type="dxa"/>
              <w:bottom w:w="100.0" w:type="dxa"/>
              <w:right w:w="100.0" w:type="dxa"/>
            </w:tcMar>
            <w:vAlign w:val="top"/>
          </w:tcPr>
          <w:p w:rsidR="00000000" w:rsidDel="00000000" w:rsidP="00000000" w:rsidRDefault="00000000" w:rsidRPr="00000000" w14:paraId="00000006">
            <w:pPr>
              <w:widowControl w:val="0"/>
              <w:pBdr>
                <w:top w:color="auto" w:space="0" w:sz="0" w:val="none"/>
                <w:left w:color="auto" w:space="0" w:sz="0" w:val="none"/>
                <w:bottom w:color="auto" w:space="0" w:sz="0" w:val="none"/>
                <w:right w:color="auto" w:space="0" w:sz="0" w:val="none"/>
                <w:between w:color="auto" w:space="0" w:sz="0" w:val="none"/>
              </w:pBdr>
              <w:spacing w:line="240" w:lineRule="auto"/>
              <w:jc w:val="center"/>
              <w:rPr>
                <w:rFonts w:ascii="Nunito" w:cs="Nunito" w:eastAsia="Nunito" w:hAnsi="Nunito"/>
                <w:b w:val="1"/>
              </w:rPr>
            </w:pPr>
            <w:r w:rsidDel="00000000" w:rsidR="00000000" w:rsidRPr="00000000">
              <w:rPr>
                <w:rFonts w:ascii="Nunito" w:cs="Nunito" w:eastAsia="Nunito" w:hAnsi="Nunito"/>
                <w:b w:val="1"/>
                <w:rtl w:val="0"/>
              </w:rPr>
              <w:t xml:space="preserve">Likelihood</w:t>
            </w:r>
          </w:p>
        </w:tc>
        <w:tc>
          <w:tcPr>
            <w:shd w:fill="ffff00" w:val="clear"/>
            <w:tcMar>
              <w:top w:w="100.0" w:type="dxa"/>
              <w:left w:w="100.0" w:type="dxa"/>
              <w:bottom w:w="100.0" w:type="dxa"/>
              <w:right w:w="100.0" w:type="dxa"/>
            </w:tcMar>
            <w:vAlign w:val="top"/>
          </w:tcPr>
          <w:p w:rsidR="00000000" w:rsidDel="00000000" w:rsidP="00000000" w:rsidRDefault="00000000" w:rsidRPr="00000000" w14:paraId="00000007">
            <w:pPr>
              <w:widowControl w:val="0"/>
              <w:pBdr>
                <w:top w:color="auto" w:space="0" w:sz="0" w:val="none"/>
                <w:left w:color="auto" w:space="0" w:sz="0" w:val="none"/>
                <w:bottom w:color="auto" w:space="0" w:sz="0" w:val="none"/>
                <w:right w:color="auto" w:space="0" w:sz="0" w:val="none"/>
                <w:between w:color="auto" w:space="0" w:sz="0" w:val="none"/>
              </w:pBdr>
              <w:spacing w:line="240" w:lineRule="auto"/>
              <w:jc w:val="center"/>
              <w:rPr>
                <w:rFonts w:ascii="Nunito" w:cs="Nunito" w:eastAsia="Nunito" w:hAnsi="Nunito"/>
                <w:b w:val="1"/>
              </w:rPr>
            </w:pPr>
            <w:r w:rsidDel="00000000" w:rsidR="00000000" w:rsidRPr="00000000">
              <w:rPr>
                <w:rFonts w:ascii="Nunito" w:cs="Nunito" w:eastAsia="Nunito" w:hAnsi="Nunito"/>
                <w:b w:val="1"/>
                <w:rtl w:val="0"/>
              </w:rPr>
              <w:t xml:space="preserve">Impact</w:t>
            </w:r>
          </w:p>
        </w:tc>
        <w:tc>
          <w:tcPr>
            <w:shd w:fill="ffff00" w:val="clear"/>
            <w:tcMar>
              <w:top w:w="100.0" w:type="dxa"/>
              <w:left w:w="100.0" w:type="dxa"/>
              <w:bottom w:w="100.0" w:type="dxa"/>
              <w:right w:w="100.0" w:type="dxa"/>
            </w:tcMar>
            <w:vAlign w:val="top"/>
          </w:tcPr>
          <w:p w:rsidR="00000000" w:rsidDel="00000000" w:rsidP="00000000" w:rsidRDefault="00000000" w:rsidRPr="00000000" w14:paraId="00000008">
            <w:pPr>
              <w:widowControl w:val="0"/>
              <w:pBdr>
                <w:top w:color="auto" w:space="0" w:sz="0" w:val="none"/>
                <w:left w:color="auto" w:space="0" w:sz="0" w:val="none"/>
                <w:bottom w:color="auto" w:space="0" w:sz="0" w:val="none"/>
                <w:right w:color="auto" w:space="0" w:sz="0" w:val="none"/>
                <w:between w:color="auto" w:space="0" w:sz="0" w:val="none"/>
              </w:pBdr>
              <w:spacing w:line="240" w:lineRule="auto"/>
              <w:jc w:val="center"/>
              <w:rPr>
                <w:rFonts w:ascii="Nunito" w:cs="Nunito" w:eastAsia="Nunito" w:hAnsi="Nunito"/>
                <w:b w:val="1"/>
              </w:rPr>
            </w:pPr>
            <w:r w:rsidDel="00000000" w:rsidR="00000000" w:rsidRPr="00000000">
              <w:rPr>
                <w:rFonts w:ascii="Nunito" w:cs="Nunito" w:eastAsia="Nunito" w:hAnsi="Nunito"/>
                <w:b w:val="1"/>
                <w:rtl w:val="0"/>
              </w:rPr>
              <w:t xml:space="preserve">Owner</w:t>
            </w:r>
          </w:p>
        </w:tc>
        <w:tc>
          <w:tcPr>
            <w:shd w:fill="ffff00" w:val="clear"/>
            <w:tcMar>
              <w:top w:w="100.0" w:type="dxa"/>
              <w:left w:w="100.0" w:type="dxa"/>
              <w:bottom w:w="100.0" w:type="dxa"/>
              <w:right w:w="100.0" w:type="dxa"/>
            </w:tcMar>
            <w:vAlign w:val="top"/>
          </w:tcPr>
          <w:p w:rsidR="00000000" w:rsidDel="00000000" w:rsidP="00000000" w:rsidRDefault="00000000" w:rsidRPr="00000000" w14:paraId="00000009">
            <w:pPr>
              <w:widowControl w:val="0"/>
              <w:pBdr>
                <w:top w:color="auto" w:space="0" w:sz="0" w:val="none"/>
                <w:left w:color="auto" w:space="0" w:sz="0" w:val="none"/>
                <w:bottom w:color="auto" w:space="0" w:sz="0" w:val="none"/>
                <w:right w:color="auto" w:space="0" w:sz="0" w:val="none"/>
                <w:between w:color="auto" w:space="0" w:sz="0" w:val="none"/>
              </w:pBdr>
              <w:spacing w:line="240" w:lineRule="auto"/>
              <w:jc w:val="center"/>
              <w:rPr>
                <w:rFonts w:ascii="Nunito" w:cs="Nunito" w:eastAsia="Nunito" w:hAnsi="Nunito"/>
                <w:b w:val="1"/>
              </w:rPr>
            </w:pPr>
            <w:r w:rsidDel="00000000" w:rsidR="00000000" w:rsidRPr="00000000">
              <w:rPr>
                <w:rFonts w:ascii="Nunito" w:cs="Nunito" w:eastAsia="Nunito" w:hAnsi="Nunito"/>
                <w:b w:val="1"/>
                <w:rtl w:val="0"/>
              </w:rPr>
              <w:t xml:space="preserve">Mitigation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Nunito" w:cs="Nunito" w:eastAsia="Nunito" w:hAnsi="Nunito"/>
              </w:rPr>
            </w:pPr>
            <w:r w:rsidDel="00000000" w:rsidR="00000000" w:rsidRPr="00000000">
              <w:rPr>
                <w:rFonts w:ascii="Nunito" w:cs="Nunito" w:eastAsia="Nunito" w:hAnsi="Nunito"/>
                <w:rtl w:val="0"/>
              </w:rPr>
              <w:t xml:space="preserve">Lack of quality participation from community members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Nunito" w:cs="Nunito" w:eastAsia="Nunito" w:hAnsi="Nunito"/>
              </w:rPr>
            </w:pPr>
            <w:r w:rsidDel="00000000" w:rsidR="00000000" w:rsidRPr="00000000">
              <w:rPr>
                <w:rFonts w:ascii="Nunito" w:cs="Nunito" w:eastAsia="Nunito" w:hAnsi="Nunito"/>
                <w:rtl w:val="0"/>
              </w:rPr>
              <w:t xml:space="preserve">High</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Nunito" w:cs="Nunito" w:eastAsia="Nunito" w:hAnsi="Nunito"/>
              </w:rPr>
            </w:pPr>
            <w:r w:rsidDel="00000000" w:rsidR="00000000" w:rsidRPr="00000000">
              <w:rPr>
                <w:rFonts w:ascii="Nunito" w:cs="Nunito" w:eastAsia="Nunito" w:hAnsi="Nunito"/>
                <w:rtl w:val="0"/>
              </w:rPr>
              <w:t xml:space="preserve">High</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Nunito" w:cs="Nunito" w:eastAsia="Nunito" w:hAnsi="Nunito"/>
              </w:rPr>
            </w:pPr>
            <w:r w:rsidDel="00000000" w:rsidR="00000000" w:rsidRPr="00000000">
              <w:rPr>
                <w:rFonts w:ascii="Nunito" w:cs="Nunito" w:eastAsia="Nunito" w:hAnsi="Nunito"/>
                <w:rtl w:val="0"/>
              </w:rPr>
              <w:t xml:space="preserve">TBD</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Nunito" w:cs="Nunito" w:eastAsia="Nunito" w:hAnsi="Nunito"/>
              </w:rPr>
            </w:pPr>
            <w:r w:rsidDel="00000000" w:rsidR="00000000" w:rsidRPr="00000000">
              <w:rPr>
                <w:rFonts w:ascii="Nunito" w:cs="Nunito" w:eastAsia="Nunito" w:hAnsi="Nunito"/>
                <w:rtl w:val="0"/>
              </w:rPr>
              <w:t xml:space="preserve">New member survey and interviews to identify key needs and trends. Adapt strategy to satisfy the needs of the key fields. Double down in areas of most popularity at expense of broader community.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Nunito" w:cs="Nunito" w:eastAsia="Nunito" w:hAnsi="Nunito"/>
              </w:rPr>
            </w:pPr>
            <w:r w:rsidDel="00000000" w:rsidR="00000000" w:rsidRPr="00000000">
              <w:rPr>
                <w:rFonts w:ascii="Nunito" w:cs="Nunito" w:eastAsia="Nunito" w:hAnsi="Nunito"/>
                <w:rtl w:val="0"/>
              </w:rPr>
              <w:t xml:space="preserve">Release of sensitive information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Nunito" w:cs="Nunito" w:eastAsia="Nunito" w:hAnsi="Nunito"/>
              </w:rPr>
            </w:pPr>
            <w:r w:rsidDel="00000000" w:rsidR="00000000" w:rsidRPr="00000000">
              <w:rPr>
                <w:rFonts w:ascii="Nunito" w:cs="Nunito" w:eastAsia="Nunito" w:hAnsi="Nunito"/>
                <w:rtl w:val="0"/>
              </w:rPr>
              <w:t xml:space="preserve">Medium</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Nunito" w:cs="Nunito" w:eastAsia="Nunito" w:hAnsi="Nunito"/>
              </w:rPr>
            </w:pPr>
            <w:r w:rsidDel="00000000" w:rsidR="00000000" w:rsidRPr="00000000">
              <w:rPr>
                <w:rFonts w:ascii="Nunito" w:cs="Nunito" w:eastAsia="Nunito" w:hAnsi="Nunito"/>
                <w:rtl w:val="0"/>
              </w:rPr>
              <w:t xml:space="preserve">Low</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Nunito" w:cs="Nunito" w:eastAsia="Nunito" w:hAnsi="Nunito"/>
              </w:rPr>
            </w:pPr>
            <w:r w:rsidDel="00000000" w:rsidR="00000000" w:rsidRPr="00000000">
              <w:rPr>
                <w:rFonts w:ascii="Nunito" w:cs="Nunito" w:eastAsia="Nunito" w:hAnsi="Nunito"/>
                <w:rtl w:val="0"/>
              </w:rPr>
              <w:t xml:space="preserve">TBD</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Nunito" w:cs="Nunito" w:eastAsia="Nunito" w:hAnsi="Nunito"/>
              </w:rPr>
            </w:pPr>
            <w:r w:rsidDel="00000000" w:rsidR="00000000" w:rsidRPr="00000000">
              <w:rPr>
                <w:rFonts w:ascii="Nunito" w:cs="Nunito" w:eastAsia="Nunito" w:hAnsi="Nunito"/>
                <w:rtl w:val="0"/>
              </w:rPr>
              <w:t xml:space="preserve">Immediate removal of member and notification to members with access to privileged members about their NDAs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Nunito" w:cs="Nunito" w:eastAsia="Nunito" w:hAnsi="Nunito"/>
              </w:rPr>
            </w:pPr>
            <w:r w:rsidDel="00000000" w:rsidR="00000000" w:rsidRPr="00000000">
              <w:rPr>
                <w:rFonts w:ascii="Nunito" w:cs="Nunito" w:eastAsia="Nunito" w:hAnsi="Nunito"/>
                <w:rtl w:val="0"/>
              </w:rPr>
              <w:t xml:space="preserve">Community is flooded with angry posts / upset customers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Nunito" w:cs="Nunito" w:eastAsia="Nunito" w:hAnsi="Nunito"/>
              </w:rPr>
            </w:pPr>
            <w:r w:rsidDel="00000000" w:rsidR="00000000" w:rsidRPr="00000000">
              <w:rPr>
                <w:rFonts w:ascii="Nunito" w:cs="Nunito" w:eastAsia="Nunito" w:hAnsi="Nunito"/>
                <w:rtl w:val="0"/>
              </w:rPr>
              <w:t xml:space="preserve">High</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Nunito" w:cs="Nunito" w:eastAsia="Nunito" w:hAnsi="Nunito"/>
              </w:rPr>
            </w:pPr>
            <w:r w:rsidDel="00000000" w:rsidR="00000000" w:rsidRPr="00000000">
              <w:rPr>
                <w:rFonts w:ascii="Nunito" w:cs="Nunito" w:eastAsia="Nunito" w:hAnsi="Nunito"/>
                <w:rtl w:val="0"/>
              </w:rPr>
              <w:t xml:space="preserve">Medium</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Nunito" w:cs="Nunito" w:eastAsia="Nunito" w:hAnsi="Nunito"/>
              </w:rPr>
            </w:pPr>
            <w:r w:rsidDel="00000000" w:rsidR="00000000" w:rsidRPr="00000000">
              <w:rPr>
                <w:rFonts w:ascii="Nunito" w:cs="Nunito" w:eastAsia="Nunito" w:hAnsi="Nunito"/>
                <w:rtl w:val="0"/>
              </w:rPr>
              <w:t xml:space="preserve">TBD</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Nunito" w:cs="Nunito" w:eastAsia="Nunito" w:hAnsi="Nunito"/>
              </w:rPr>
            </w:pPr>
            <w:r w:rsidDel="00000000" w:rsidR="00000000" w:rsidRPr="00000000">
              <w:rPr>
                <w:rFonts w:ascii="Nunito" w:cs="Nunito" w:eastAsia="Nunito" w:hAnsi="Nunito"/>
                <w:rtl w:val="0"/>
              </w:rPr>
              <w:t xml:space="preserve">Careful monitoring of ‘trigger’ issues and rapid response to concerns which appear 3+ times in a month / rank highly on member surveys (i.e. lack of staff participation in ideation).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Nunito" w:cs="Nunito" w:eastAsia="Nunito" w:hAnsi="Nunito"/>
              </w:rPr>
            </w:pPr>
            <w:r w:rsidDel="00000000" w:rsidR="00000000" w:rsidRPr="00000000">
              <w:rPr>
                <w:rFonts w:ascii="Nunito" w:cs="Nunito" w:eastAsia="Nunito" w:hAnsi="Nunito"/>
                <w:rtl w:val="0"/>
              </w:rPr>
              <w:t xml:space="preserve">Serious breach of code of conduct (sexism, racism, etc.)</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Nunito" w:cs="Nunito" w:eastAsia="Nunito" w:hAnsi="Nunito"/>
              </w:rPr>
            </w:pPr>
            <w:r w:rsidDel="00000000" w:rsidR="00000000" w:rsidRPr="00000000">
              <w:rPr>
                <w:rFonts w:ascii="Nunito" w:cs="Nunito" w:eastAsia="Nunito" w:hAnsi="Nunito"/>
                <w:rtl w:val="0"/>
              </w:rPr>
              <w:t xml:space="preserve">Low</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Nunito" w:cs="Nunito" w:eastAsia="Nunito" w:hAnsi="Nunito"/>
              </w:rPr>
            </w:pPr>
            <w:r w:rsidDel="00000000" w:rsidR="00000000" w:rsidRPr="00000000">
              <w:rPr>
                <w:rFonts w:ascii="Nunito" w:cs="Nunito" w:eastAsia="Nunito" w:hAnsi="Nunito"/>
                <w:rtl w:val="0"/>
              </w:rPr>
              <w:t xml:space="preserve">Medium</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Nunito" w:cs="Nunito" w:eastAsia="Nunito" w:hAnsi="Nunito"/>
              </w:rPr>
            </w:pPr>
            <w:r w:rsidDel="00000000" w:rsidR="00000000" w:rsidRPr="00000000">
              <w:rPr>
                <w:rFonts w:ascii="Nunito" w:cs="Nunito" w:eastAsia="Nunito" w:hAnsi="Nunito"/>
                <w:rtl w:val="0"/>
              </w:rPr>
              <w:t xml:space="preserve">TBD</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Nunito" w:cs="Nunito" w:eastAsia="Nunito" w:hAnsi="Nunito"/>
              </w:rPr>
            </w:pPr>
            <w:r w:rsidDel="00000000" w:rsidR="00000000" w:rsidRPr="00000000">
              <w:rPr>
                <w:rFonts w:ascii="Nunito" w:cs="Nunito" w:eastAsia="Nunito" w:hAnsi="Nunito"/>
                <w:rtl w:val="0"/>
              </w:rPr>
              <w:t xml:space="preserve">Code of conduct for using the community. Training for moderators to identify issues.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Nunito" w:cs="Nunito" w:eastAsia="Nunito" w:hAnsi="Nunito"/>
              </w:rPr>
            </w:pPr>
            <w:r w:rsidDel="00000000" w:rsidR="00000000" w:rsidRPr="00000000">
              <w:rPr>
                <w:rFonts w:ascii="Nunito" w:cs="Nunito" w:eastAsia="Nunito" w:hAnsi="Nunito"/>
                <w:rtl w:val="0"/>
              </w:rPr>
              <w:t xml:space="preserve">Platform failure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Nunito" w:cs="Nunito" w:eastAsia="Nunito" w:hAnsi="Nunito"/>
              </w:rPr>
            </w:pPr>
            <w:r w:rsidDel="00000000" w:rsidR="00000000" w:rsidRPr="00000000">
              <w:rPr>
                <w:rFonts w:ascii="Nunito" w:cs="Nunito" w:eastAsia="Nunito" w:hAnsi="Nunito"/>
                <w:rtl w:val="0"/>
              </w:rPr>
              <w:t xml:space="preserve">Low</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Nunito" w:cs="Nunito" w:eastAsia="Nunito" w:hAnsi="Nunito"/>
              </w:rPr>
            </w:pPr>
            <w:r w:rsidDel="00000000" w:rsidR="00000000" w:rsidRPr="00000000">
              <w:rPr>
                <w:rFonts w:ascii="Nunito" w:cs="Nunito" w:eastAsia="Nunito" w:hAnsi="Nunito"/>
                <w:rtl w:val="0"/>
              </w:rPr>
              <w:t xml:space="preserve">High</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Nunito" w:cs="Nunito" w:eastAsia="Nunito" w:hAnsi="Nunito"/>
              </w:rPr>
            </w:pPr>
            <w:r w:rsidDel="00000000" w:rsidR="00000000" w:rsidRPr="00000000">
              <w:rPr>
                <w:rFonts w:ascii="Nunito" w:cs="Nunito" w:eastAsia="Nunito" w:hAnsi="Nunito"/>
                <w:rtl w:val="0"/>
              </w:rPr>
              <w:t xml:space="preserve">Salesforce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Nunito" w:cs="Nunito" w:eastAsia="Nunito" w:hAnsi="Nunito"/>
              </w:rPr>
            </w:pPr>
            <w:r w:rsidDel="00000000" w:rsidR="00000000" w:rsidRPr="00000000">
              <w:rPr>
                <w:rFonts w:ascii="Nunito" w:cs="Nunito" w:eastAsia="Nunito" w:hAnsi="Nunito"/>
                <w:rtl w:val="0"/>
              </w:rPr>
              <w:t xml:space="preserve">Hosted via Salesforce Community Cloud.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Nunito" w:cs="Nunito" w:eastAsia="Nunito" w:hAnsi="Nunito"/>
              </w:rPr>
            </w:pPr>
            <w:r w:rsidDel="00000000" w:rsidR="00000000" w:rsidRPr="00000000">
              <w:rPr>
                <w:rFonts w:ascii="Nunito" w:cs="Nunito" w:eastAsia="Nunito" w:hAnsi="Nunito"/>
                <w:rtl w:val="0"/>
              </w:rPr>
              <w:t xml:space="preserve">Lack of buy-in from senior executives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Nunito" w:cs="Nunito" w:eastAsia="Nunito" w:hAnsi="Nunito"/>
              </w:rPr>
            </w:pPr>
            <w:r w:rsidDel="00000000" w:rsidR="00000000" w:rsidRPr="00000000">
              <w:rPr>
                <w:rFonts w:ascii="Nunito" w:cs="Nunito" w:eastAsia="Nunito" w:hAnsi="Nunito"/>
                <w:rtl w:val="0"/>
              </w:rPr>
              <w:t xml:space="preserve">Low</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Nunito" w:cs="Nunito" w:eastAsia="Nunito" w:hAnsi="Nunito"/>
              </w:rPr>
            </w:pPr>
            <w:r w:rsidDel="00000000" w:rsidR="00000000" w:rsidRPr="00000000">
              <w:rPr>
                <w:rFonts w:ascii="Nunito" w:cs="Nunito" w:eastAsia="Nunito" w:hAnsi="Nunito"/>
                <w:rtl w:val="0"/>
              </w:rPr>
              <w:t xml:space="preserve">Medium</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Nunito" w:cs="Nunito" w:eastAsia="Nunito" w:hAnsi="Nunito"/>
              </w:rPr>
            </w:pPr>
            <w:r w:rsidDel="00000000" w:rsidR="00000000" w:rsidRPr="00000000">
              <w:rPr>
                <w:rFonts w:ascii="Nunito" w:cs="Nunito" w:eastAsia="Nunito" w:hAnsi="Nunito"/>
                <w:rtl w:val="0"/>
              </w:rPr>
              <w:t xml:space="preserve">Director of Community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Nunito" w:cs="Nunito" w:eastAsia="Nunito" w:hAnsi="Nunito"/>
              </w:rPr>
            </w:pPr>
            <w:r w:rsidDel="00000000" w:rsidR="00000000" w:rsidRPr="00000000">
              <w:rPr>
                <w:rFonts w:ascii="Nunito" w:cs="Nunito" w:eastAsia="Nunito" w:hAnsi="Nunito"/>
                <w:rtl w:val="0"/>
              </w:rPr>
              <w:t xml:space="preserve">Stakeholder maintenance tool.</w:t>
            </w:r>
          </w:p>
          <w:p w:rsidR="00000000" w:rsidDel="00000000" w:rsidP="00000000" w:rsidRDefault="00000000" w:rsidRPr="00000000" w14:paraId="00000028">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Nunito" w:cs="Nunito" w:eastAsia="Nunito" w:hAnsi="Nunito"/>
              </w:rPr>
            </w:pPr>
            <w:r w:rsidDel="00000000" w:rsidR="00000000" w:rsidRPr="00000000">
              <w:rPr>
                <w:rFonts w:ascii="Nunito" w:cs="Nunito" w:eastAsia="Nunito" w:hAnsi="Nunito"/>
                <w:rtl w:val="0"/>
              </w:rPr>
              <w:t xml:space="preserve">Constant updates / narrative crafting internally. Shared successes and growth stories.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Nunito" w:cs="Nunito" w:eastAsia="Nunito" w:hAnsi="Nunito"/>
              </w:rPr>
            </w:pPr>
            <w:r w:rsidDel="00000000" w:rsidR="00000000" w:rsidRPr="00000000">
              <w:rPr>
                <w:rFonts w:ascii="Nunito" w:cs="Nunito" w:eastAsia="Nunito" w:hAnsi="Nunito"/>
                <w:rtl w:val="0"/>
              </w:rPr>
              <w:t xml:space="preserve">Regulatory breach within the community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Nunito" w:cs="Nunito" w:eastAsia="Nunito" w:hAnsi="Nunito"/>
              </w:rPr>
            </w:pPr>
            <w:r w:rsidDel="00000000" w:rsidR="00000000" w:rsidRPr="00000000">
              <w:rPr>
                <w:rFonts w:ascii="Nunito" w:cs="Nunito" w:eastAsia="Nunito" w:hAnsi="Nunito"/>
                <w:rtl w:val="0"/>
              </w:rPr>
              <w:t xml:space="preserve">Low</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Nunito" w:cs="Nunito" w:eastAsia="Nunito" w:hAnsi="Nunito"/>
              </w:rPr>
            </w:pPr>
            <w:r w:rsidDel="00000000" w:rsidR="00000000" w:rsidRPr="00000000">
              <w:rPr>
                <w:rFonts w:ascii="Nunito" w:cs="Nunito" w:eastAsia="Nunito" w:hAnsi="Nunito"/>
                <w:rtl w:val="0"/>
              </w:rPr>
              <w:t xml:space="preserve">High</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Nunito" w:cs="Nunito" w:eastAsia="Nunito" w:hAnsi="Nunito"/>
              </w:rPr>
            </w:pPr>
            <w:r w:rsidDel="00000000" w:rsidR="00000000" w:rsidRPr="00000000">
              <w:rPr>
                <w:rFonts w:ascii="Nunito" w:cs="Nunito" w:eastAsia="Nunito" w:hAnsi="Nunito"/>
                <w:rtl w:val="0"/>
              </w:rPr>
              <w:t xml:space="preserve">TBD</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Nunito" w:cs="Nunito" w:eastAsia="Nunito" w:hAnsi="Nunito"/>
              </w:rPr>
            </w:pPr>
            <w:r w:rsidDel="00000000" w:rsidR="00000000" w:rsidRPr="00000000">
              <w:rPr>
                <w:rFonts w:ascii="Nunito" w:cs="Nunito" w:eastAsia="Nunito" w:hAnsi="Nunito"/>
                <w:rtl w:val="0"/>
              </w:rPr>
              <w:t xml:space="preserve">Regulatory training for contributors. Clear review of community terms of use with legal teams.</w:t>
            </w:r>
          </w:p>
          <w:p w:rsidR="00000000" w:rsidDel="00000000" w:rsidP="00000000" w:rsidRDefault="00000000" w:rsidRPr="00000000" w14:paraId="0000002E">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Nunito" w:cs="Nunito" w:eastAsia="Nunito" w:hAnsi="Nunito"/>
              </w:rPr>
            </w:pPr>
            <w:r w:rsidDel="00000000" w:rsidR="00000000" w:rsidRPr="00000000">
              <w:rPr>
                <w:rFonts w:ascii="Nunito" w:cs="Nunito" w:eastAsia="Nunito" w:hAnsi="Nunito"/>
                <w:rtl w:val="0"/>
              </w:rPr>
              <w:t xml:space="preserve">Moderator guidelines and training.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Nunito" w:cs="Nunito" w:eastAsia="Nunito" w:hAnsi="Nunito"/>
              </w:rPr>
            </w:pPr>
            <w:r w:rsidDel="00000000" w:rsidR="00000000" w:rsidRPr="00000000">
              <w:rPr>
                <w:rFonts w:ascii="Nunito" w:cs="Nunito" w:eastAsia="Nunito" w:hAnsi="Nunito"/>
                <w:rtl w:val="0"/>
              </w:rPr>
              <w:t xml:space="preserve">[add more here]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Nunito" w:cs="Nunito" w:eastAsia="Nunito" w:hAnsi="Nuni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Nunito" w:cs="Nunito" w:eastAsia="Nunito" w:hAnsi="Nuni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Nunito" w:cs="Nunito" w:eastAsia="Nunito" w:hAnsi="Nuni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Nunito" w:cs="Nunito" w:eastAsia="Nunito" w:hAnsi="Nuni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Nunito" w:cs="Nunito" w:eastAsia="Nunito" w:hAnsi="Nuni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Nunito" w:cs="Nunito" w:eastAsia="Nunito" w:hAnsi="Nuni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Nunito" w:cs="Nunito" w:eastAsia="Nunito" w:hAnsi="Nuni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Nunito" w:cs="Nunito" w:eastAsia="Nunito" w:hAnsi="Nuni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Nunito" w:cs="Nunito" w:eastAsia="Nunito" w:hAnsi="Nuni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Nunito" w:cs="Nunito" w:eastAsia="Nunito" w:hAnsi="Nuni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Nunito" w:cs="Nunito" w:eastAsia="Nunito" w:hAnsi="Nuni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Nunito" w:cs="Nunito" w:eastAsia="Nunito" w:hAnsi="Nuni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Nunito" w:cs="Nunito" w:eastAsia="Nunito" w:hAnsi="Nuni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Nunito" w:cs="Nunito" w:eastAsia="Nunito" w:hAnsi="Nuni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Nunito" w:cs="Nunito" w:eastAsia="Nunito" w:hAnsi="Nuni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Nunito" w:cs="Nunito" w:eastAsia="Nunito" w:hAnsi="Nuni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Nunito" w:cs="Nunito" w:eastAsia="Nunito" w:hAnsi="Nuni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Nunito" w:cs="Nunito" w:eastAsia="Nunito" w:hAnsi="Nuni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Nunito" w:cs="Nunito" w:eastAsia="Nunito" w:hAnsi="Nuni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Nunito" w:cs="Nunito" w:eastAsia="Nunito" w:hAnsi="Nuni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Nunito" w:cs="Nunito" w:eastAsia="Nunito" w:hAnsi="Nuni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Nunito" w:cs="Nunito" w:eastAsia="Nunito" w:hAnsi="Nuni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Nunito" w:cs="Nunito" w:eastAsia="Nunito" w:hAnsi="Nuni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Nunito" w:cs="Nunito" w:eastAsia="Nunito" w:hAnsi="Nunito"/>
              </w:rPr>
            </w:pPr>
            <w:r w:rsidDel="00000000" w:rsidR="00000000" w:rsidRPr="00000000">
              <w:rPr>
                <w:rtl w:val="0"/>
              </w:rPr>
            </w:r>
          </w:p>
        </w:tc>
      </w:tr>
    </w:tbl>
    <w:p w:rsidR="00000000" w:rsidDel="00000000" w:rsidP="00000000" w:rsidRDefault="00000000" w:rsidRPr="00000000" w14:paraId="00000048">
      <w:pPr>
        <w:pBdr>
          <w:top w:color="auto" w:space="0" w:sz="0" w:val="none"/>
          <w:left w:color="auto" w:space="0" w:sz="0" w:val="none"/>
          <w:bottom w:color="auto" w:space="0" w:sz="0" w:val="none"/>
          <w:right w:color="auto" w:space="0" w:sz="0" w:val="none"/>
          <w:between w:color="auto" w:space="0" w:sz="0" w:val="none"/>
        </w:pBdr>
        <w:rPr>
          <w:rFonts w:ascii="Nunito" w:cs="Nunito" w:eastAsia="Nunito" w:hAnsi="Nunito"/>
          <w:b w:val="1"/>
          <w:sz w:val="36"/>
          <w:szCs w:val="36"/>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Nuni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Nunito-regular.ttf"/><Relationship Id="rId2" Type="http://schemas.openxmlformats.org/officeDocument/2006/relationships/font" Target="fonts/Nunito-bold.ttf"/><Relationship Id="rId3" Type="http://schemas.openxmlformats.org/officeDocument/2006/relationships/font" Target="fonts/Nunito-italic.ttf"/><Relationship Id="rId4" Type="http://schemas.openxmlformats.org/officeDocument/2006/relationships/font" Target="fonts/Nuni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